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Custom"/>
        <w:jc w:val="left"/>
      </w:pPr>
      <w:r>
        <w:t>Política de privacidad y tratamiento de datos personales</w:t>
      </w:r>
    </w:p>
    <w:p>
      <w:pPr>
        <w:pStyle w:val="SubtitleCustom"/>
      </w:pPr>
      <w:r>
        <w:t>Con enfoque reforzado para menores de edad, viajes, salud, imágenes y expedientes de delegación</w:t>
      </w:r>
    </w:p>
    <w:p>
      <w:pPr>
        <w:spacing w:after="160"/>
        <w:pBdr>
          <w:bottom w:val="single" w:sz="10" w:space="2" w:color="18355D"/>
        </w:pBdr>
      </w:pPr>
      <w:r>
        <w:t xml:space="preserve"> 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8" w:space="0" w:color="D0D8E5"/>
          <w:left w:val="single" w:sz="8" w:space="0" w:color="D0D8E5"/>
          <w:bottom w:val="single" w:sz="8" w:space="0" w:color="D0D8E5"/>
          <w:right w:val="single" w:sz="8" w:space="0" w:color="D0D8E5"/>
          <w:insideH w:val="single" w:sz="8" w:space="0" w:color="D0D8E5"/>
          <w:insideV w:val="single" w:sz="8" w:space="0" w:color="D0D8E5"/>
        </w:tblBorders>
      </w:tblPr>
      <w:tblGrid>
        <w:gridCol w:w="3312"/>
        <w:gridCol w:w="3312"/>
        <w:gridCol w:w="3312"/>
      </w:tblGrid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Código</w:t>
              <w:br/>
            </w:r>
            <w:r>
              <w:rPr>
                <w:sz w:val="19"/>
              </w:rPr>
              <w:t>POL-DP-001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Versión</w:t>
              <w:br/>
            </w:r>
            <w:r>
              <w:rPr>
                <w:sz w:val="19"/>
              </w:rPr>
              <w:t>1.0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Vigencia</w:t>
              <w:br/>
            </w:r>
            <w:r>
              <w:rPr>
                <w:sz w:val="19"/>
              </w:rPr>
              <w:t>[Fecha de aprobación]</w:t>
            </w:r>
          </w:p>
        </w:tc>
      </w:tr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Aprobado por</w:t>
              <w:br/>
            </w:r>
            <w:r>
              <w:rPr>
                <w:sz w:val="19"/>
              </w:rPr>
              <w:t>[Órgano/Presidencia]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Revisión</w:t>
              <w:br/>
            </w:r>
            <w:r>
              <w:rPr>
                <w:sz w:val="19"/>
              </w:rPr>
              <w:t>Anual o al ocurrir un incidente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Área responsable</w:t>
              <w:br/>
            </w:r>
            <w:r>
              <w:rPr>
                <w:sz w:val="19"/>
              </w:rPr>
              <w:t>[Nombre del responsable]</w:t>
            </w:r>
          </w:p>
        </w:tc>
      </w:tr>
    </w:tbl>
    <w:p/>
    <w:p>
      <w:r>
        <w:t>Esta política regula el tratamiento de datos personales recolectados por la organización o delegación para fines de selección, entrenamiento, viaje, participación en competencias, seguridad, comunicación y rendición de cuentas.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Base legal general</w:t>
              <w:br/>
            </w:r>
            <w:r>
              <w:t>La política se alinea con la Ley núm. 172-13 sobre protección de datos personales en República Dominicana y adopta un estándar reforzado cuando la información corresponde a menores de edad.</w:t>
            </w:r>
          </w:p>
        </w:tc>
      </w:tr>
    </w:tbl>
    <w:p/>
    <w:p>
      <w:pPr>
        <w:pStyle w:val="Heading1Custom"/>
      </w:pPr>
      <w:r>
        <w:t>1. Objetivo</w:t>
      </w:r>
    </w:p>
    <w:p>
      <w:r>
        <w:t>Asegurar que los datos personales se recojan y utilicen solo para fines legítimos, proporcionados y claramente comunicados, con controles de acceso y protección adecuados.</w:t>
      </w:r>
    </w:p>
    <w:p>
      <w:pPr>
        <w:pStyle w:val="Heading1Custom"/>
      </w:pPr>
      <w:r>
        <w:t>2. Datos que pueden ser tratados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Datos de identificación: nombre, fecha de nacimiento, nacionalidad, documento de identidad, pasaporte.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Datos de contacto: dirección, correo, teléfonos de padres, tutores y contactos de emergencia.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Datos de viaje: itinerarios, visados, permisos de salida, hospedaje, rooming, seguros.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Datos académicos o de participación: escuela, grado, experiencia, desempeño técnico o disciplinario.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Datos de salud necesarios para el viaje: alergias, medicamentos, restricciones alimentarias, condiciones médicas relevantes, seguro médico.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Imágenes, audios o videos captados en actividades oficiales.</w:t>
      </w:r>
    </w:p>
    <w:p>
      <w:pPr>
        <w:pStyle w:val="Heading1Custom"/>
      </w:pPr>
      <w:r>
        <w:t>3. Finalidades del tratamiento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Gestionar postulaciones, selección y permanencia en la delegación.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Preparar expedientes de viaje y cumplir requisitos migratorios, consulares, de hospedaje o del organizador.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Proteger la integridad física y el bienestar del menor.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Mantener comunicación operativa con familias y participantes.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Difundir resultados o actividades institucionales, solo dentro del alcance consentido.</w:t>
      </w:r>
    </w:p>
    <w:p>
      <w:pPr>
        <w:pStyle w:val="Heading1Custom"/>
      </w:pPr>
      <w:r>
        <w:t>4. Reglas especiales para datos de menores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Se recolectará la menor cantidad de información posible para cumplir la finalidad declarada.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La información sensible de salud y de viaje tendrá acceso restringido exclusivamente a personas que la necesiten para proteger al menor o ejecutar el viaje.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Las decisiones sobre uso público de imagen, video o testimonio se sujetarán al consentimiento otorgado por padre, madre o tutor.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se publicarán números de pasaporte, boarding passes, ubicaciones en tiempo real ni datos médicos.</w:t>
      </w:r>
    </w:p>
    <w:p>
      <w:pPr>
        <w:pStyle w:val="Heading1Custom"/>
      </w:pPr>
      <w:r>
        <w:t>5. Bases de legitimación utilizadas por la organización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Consentimiento del padre, madre o tutor, cuando corresponda.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Necesidad operativa para ejecutar el viaje, la participación en la actividad o la seguridad del menor.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Cumplimiento de obligaciones documentales o requerimientos de autoridades u organizadores.</w:t>
      </w:r>
    </w:p>
    <w:p>
      <w:pPr>
        <w:pStyle w:val="Heading1Custom"/>
      </w:pPr>
      <w:r>
        <w:t>6. Compartición de datos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Los datos solo podrán compartirse con organizadores, aerolíneas, hoteles, aseguradoras, consulados, autoridades migratorias o proveedores que necesiten la información para ejecutar el viaje o la actividad.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Todo tercero deberá recibir únicamente la información necesaria para su función.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El acceso interno se limitará por rol.</w:t>
      </w:r>
    </w:p>
    <w:p>
      <w:pPr>
        <w:pStyle w:val="Heading1Custom"/>
      </w:pPr>
      <w:r>
        <w:t>7. Conservación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Los expedientes operativos se conservarán durante el período necesario para la actividad, la rendición de cuentas y la gestión de reclamaciones razonables.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Transcurrido ese plazo, la organización deberá eliminar o archivar de forma segura la información conforme a su matriz documental.</w:t>
      </w:r>
    </w:p>
    <w:p>
      <w:pPr>
        <w:pStyle w:val="Heading1Custom"/>
      </w:pPr>
      <w:r>
        <w:t>8. Derechos de los titulares y sus representantes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Solicitar acceso a la información proporcionada.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Pedir corrección de datos inexactos o desactualizados.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Solicitar supresión cuando no exista una obligación legítima de conservación.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Retirar consentimientos opcionales, especialmente sobre uso de imagen futura.</w:t>
      </w:r>
    </w:p>
    <w:p>
      <w:pPr>
        <w:pStyle w:val="Heading1Custom"/>
      </w:pPr>
      <w:r>
        <w:t>9. Seguridad de la información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Uso de carpetas restringidas, claves de acceso y envío controlado de expedientes.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Prohibición de compartir datos sensibles por canales personales no autorizados.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Registro de quién custodia los expedientes físicos o digitales.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Notificación interna inmediata ante pérdida, filtración o acceso no autorizado.</w:t>
      </w:r>
    </w:p>
    <w:p>
      <w:pPr>
        <w:pStyle w:val="Heading1Custom"/>
      </w:pPr>
      <w:r>
        <w:t>10. Fotos, videos y redes sociales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La familia podrá autorizar: uso interno, uso institucional restringido o uso público/promocional.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La falta de autorización pública no impedirá la participación del menor.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El menor y el staff también deberán abstenerse de compartir imágenes de otros participantes sin permiso.</w:t>
      </w:r>
    </w:p>
    <w:p>
      <w:pPr>
        <w:pStyle w:val="Heading1Custom"/>
      </w:pPr>
      <w:r>
        <w:t>11. Aprobación y responsable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Responsable de tratamiento / custodia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[Nombre y cargo]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Correo para solicitudes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[correo institucional]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 de aprobación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[dd/mm/aaaa]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Próxima revisión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[dd/mm/aaaa]</w:t>
            </w:r>
          </w:p>
        </w:tc>
      </w:tr>
    </w:tbl>
    <w:p/>
    <w:p>
      <w:pPr>
        <w:pStyle w:val="Heading1Custom"/>
      </w:pPr>
      <w:r>
        <w:t>Referencias normativas y de buenas prácticas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República Dominicana. Ley núm. 172-13 sobre protección de datos personales.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ICO (UK). Using children's information: a guide.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ICO (UK). A 10-step guide to sharing information to safeguard children.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UNICEF. Guías sobre protección y privacidad de niños en entornos digitales y organizacionales.</w:t>
      </w:r>
    </w:p>
    <w:p>
      <w:pPr>
        <w:pStyle w:val="Heading1Custom"/>
      </w:pPr>
      <w:r>
        <w:t>Firmas de aprobación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4968"/>
        <w:gridCol w:w="4968"/>
      </w:tblGrid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Dirección / Presidencia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Responsable de datos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Responsable de Safeguarding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08" w:right="1152" w:bottom="864" w:left="1152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 xml:space="preserve">Página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pPr>
      <w:spacing w:after="0" w:before="0"/>
    </w:pPr>
    <w:rPr>
      <w:rFonts w:ascii="Aptos Display" w:hAnsi="Aptos Display" w:eastAsia="Aptos Display"/>
      <w:b/>
      <w:color w:val="18355D"/>
      <w:sz w:val="44"/>
    </w:rPr>
  </w:style>
  <w:style w:type="paragraph" w:customStyle="1" w:styleId="SubtitleCustom">
    <w:name w:val="SubtitleCustom"/>
    <w:pPr>
      <w:spacing w:after="80"/>
    </w:pPr>
    <w:rPr>
      <w:rFonts w:ascii="Aptos" w:hAnsi="Aptos"/>
      <w:color w:val="596373"/>
      <w:sz w:val="21"/>
    </w:rPr>
  </w:style>
  <w:style w:type="paragraph" w:customStyle="1" w:styleId="Heading1Custom">
    <w:name w:val="Heading1Custom"/>
    <w:pPr>
      <w:keepNext/>
      <w:spacing w:before="240" w:after="80"/>
    </w:pPr>
    <w:rPr>
      <w:rFonts w:ascii="Aptos" w:hAnsi="Aptos"/>
      <w:b/>
      <w:color w:val="18355D"/>
      <w:sz w:val="27"/>
    </w:rPr>
  </w:style>
  <w:style w:type="paragraph" w:customStyle="1" w:styleId="Heading2Custom">
    <w:name w:val="Heading2Custom"/>
    <w:pPr>
      <w:keepNext/>
      <w:spacing w:before="160" w:after="40"/>
    </w:pPr>
    <w:rPr>
      <w:rFonts w:ascii="Aptos" w:hAnsi="Aptos"/>
      <w:b/>
      <w:color w:val="31486C"/>
      <w:sz w:val="23"/>
    </w:rPr>
  </w:style>
  <w:style w:type="paragraph" w:customStyle="1" w:styleId="SmallNote">
    <w:name w:val="SmallNote"/>
    <w:pPr>
      <w:spacing w:before="80" w:after="120"/>
    </w:pPr>
    <w:rPr>
      <w:rFonts w:ascii="Aptos" w:hAnsi="Aptos"/>
      <w:i/>
      <w:color w:val="5C6370"/>
      <w:sz w:val="18"/>
    </w:rPr>
  </w:style>
  <w:style w:type="paragraph" w:customStyle="1" w:styleId="ListCustom">
    <w:name w:val="ListCustom"/>
    <w:pPr>
      <w:spacing w:after="60" w:line="264" w:lineRule="auto"/>
      <w:ind w:left="288"/>
    </w:pPr>
    <w:rPr>
      <w:rFonts w:ascii="Aptos" w:hAnsi="Aptos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