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Custom"/>
        <w:jc w:val="left"/>
      </w:pPr>
      <w:r>
        <w:t>Política de conflictos de interés</w:t>
      </w:r>
    </w:p>
    <w:p>
      <w:pPr>
        <w:pStyle w:val="SubtitleCustom"/>
      </w:pPr>
      <w:r>
        <w:t>Aplicable a junta directiva, comité de selección, staff, consultores, voluntarios y cualquier persona con poder de decisión o influencia</w:t>
      </w:r>
    </w:p>
    <w:p>
      <w:pPr>
        <w:spacing w:after="160"/>
        <w:pBdr>
          <w:bottom w:val="single" w:sz="10" w:space="2" w:color="18355D"/>
        </w:pBdr>
      </w:pPr>
      <w:r>
        <w:t xml:space="preserve"> 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8" w:space="0" w:color="D0D8E5"/>
          <w:left w:val="single" w:sz="8" w:space="0" w:color="D0D8E5"/>
          <w:bottom w:val="single" w:sz="8" w:space="0" w:color="D0D8E5"/>
          <w:right w:val="single" w:sz="8" w:space="0" w:color="D0D8E5"/>
          <w:insideH w:val="single" w:sz="8" w:space="0" w:color="D0D8E5"/>
          <w:insideV w:val="single" w:sz="8" w:space="0" w:color="D0D8E5"/>
        </w:tblBorders>
      </w:tblPr>
      <w:tblGrid>
        <w:gridCol w:w="3312"/>
        <w:gridCol w:w="3312"/>
        <w:gridCol w:w="3312"/>
      </w:tblGrid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Código</w:t>
              <w:br/>
            </w:r>
            <w:r>
              <w:rPr>
                <w:sz w:val="19"/>
              </w:rPr>
              <w:t>POL-CI-001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Versión</w:t>
              <w:br/>
            </w:r>
            <w:r>
              <w:rPr>
                <w:sz w:val="19"/>
              </w:rPr>
              <w:t>1.0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Vigencia</w:t>
              <w:br/>
            </w:r>
            <w:r>
              <w:rPr>
                <w:sz w:val="19"/>
              </w:rPr>
              <w:t>[Fecha de aprobación]</w:t>
            </w:r>
          </w:p>
        </w:tc>
      </w:tr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Aprobado por</w:t>
              <w:br/>
            </w:r>
            <w:r>
              <w:rPr>
                <w:sz w:val="19"/>
              </w:rPr>
              <w:t>[Órgano/Presidencia]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Revisión</w:t>
              <w:br/>
            </w:r>
            <w:r>
              <w:rPr>
                <w:sz w:val="19"/>
              </w:rPr>
              <w:t>Anual o al ocurrir un incidente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Área responsable</w:t>
              <w:br/>
            </w:r>
            <w:r>
              <w:rPr>
                <w:sz w:val="19"/>
              </w:rPr>
              <w:t>[Nombre del responsable]</w:t>
            </w:r>
          </w:p>
        </w:tc>
      </w:tr>
    </w:tbl>
    <w:p/>
    <w:p>
      <w:r>
        <w:t>Esta política busca prevenir que intereses personales, familiares, profesionales, políticos, comerciales o reputacionales afecten, o aparenten afectar, la imparcialidad de las decisiones de la organización o de la delegación.</w:t>
      </w:r>
    </w:p>
    <w:p>
      <w:pPr>
        <w:pStyle w:val="Heading1Custom"/>
      </w:pPr>
      <w:r>
        <w:t>1. Objetivo</w:t>
      </w:r>
    </w:p>
    <w:p>
      <w:r>
        <w:t>Establecer reglas claras para identificar, declarar, evaluar y gestionar conflictos de interés reales, potenciales o aparentes.</w:t>
      </w:r>
    </w:p>
    <w:p>
      <w:pPr>
        <w:pStyle w:val="Heading1Custom"/>
      </w:pPr>
      <w:r>
        <w:t>2. Alcance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Procesos de selección de estudiantes, coaches, acompañantes o beneficiarios.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Patrocinios, donaciones, compras, contrataciones, reembolsos y viajes.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Designación de habitaciones, dietas, becas, reconocimientos o premios.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Relaciones con proveedores, aliados, familiares y entidades vinculadas.</w:t>
      </w:r>
    </w:p>
    <w:p>
      <w:pPr>
        <w:pStyle w:val="Heading1Custom"/>
      </w:pPr>
      <w:r>
        <w:t>3. Definiciones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Conflicto real: el interés particular ya interfiere con la decisión.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Conflicto potencial: el interés aún no afecta, pero razonablemente podría hacerlo.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Conflicto aparente: aunque no exista influencia real, una persona razonable podría percibir falta de imparcialidad.</w:t>
      </w:r>
    </w:p>
    <w:p>
      <w:pPr>
        <w:pStyle w:val="Heading1Custom"/>
      </w:pPr>
      <w:r>
        <w:t>4. Deberes de las personas sujetas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Declarar por escrito cualquier conflicto tan pronto se conozca.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Abstenerse de participar en discusión, evaluación, recomendación o votación sobre el asunto.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No utilizar información privilegiada para beneficio propio o de terceros.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Actualizar la declaración cuando cambien las circunstancias.</w:t>
      </w:r>
    </w:p>
    <w:p>
      <w:pPr>
        <w:pStyle w:val="Heading1Custom"/>
      </w:pPr>
      <w:r>
        <w:t>5. Ejemplos de conflictos frecuentes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Participar en la selección de un familiar, pareja, ahijado, alumno directo o colaborador cercano.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Recomendar o contratar un proveedor propio o de un familiar sin revelarlo.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Recibir comisiones, descuentos, regalos o favores de una agencia de viajes, hotel, suplidor o patrocinador.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Tomar decisiones sobre viáticos, becas o apoyos que beneficien a personas con vínculo directo.</w:t>
      </w:r>
    </w:p>
    <w:p>
      <w:pPr>
        <w:pStyle w:val="Heading1Custom"/>
      </w:pPr>
      <w:r>
        <w:t>6. Gestión del conflicto</w:t>
      </w:r>
    </w:p>
    <w:p>
      <w:pPr>
        <w:pStyle w:val="ListCustom"/>
        <w:ind w:left="259" w:hanging="187"/>
      </w:pPr>
      <w:r>
        <w:rPr>
          <w:b/>
        </w:rPr>
        <w:t xml:space="preserve">1. </w:t>
      </w:r>
      <w:r>
        <w:t>La persona declara el conflicto por escrito.</w:t>
      </w:r>
    </w:p>
    <w:p>
      <w:pPr>
        <w:pStyle w:val="ListCustom"/>
        <w:ind w:left="259" w:hanging="187"/>
      </w:pPr>
      <w:r>
        <w:rPr>
          <w:b/>
        </w:rPr>
        <w:t xml:space="preserve">2. </w:t>
      </w:r>
      <w:r>
        <w:t>La jefatura o el órgano competente evalúa su materialidad.</w:t>
      </w:r>
    </w:p>
    <w:p>
      <w:pPr>
        <w:pStyle w:val="ListCustom"/>
        <w:ind w:left="259" w:hanging="187"/>
      </w:pPr>
      <w:r>
        <w:rPr>
          <w:b/>
        </w:rPr>
        <w:t xml:space="preserve">3. </w:t>
      </w:r>
      <w:r>
        <w:t>Se decide la medida: abstención, reemplazo, supervisión reforzada o exclusión total del proceso.</w:t>
      </w:r>
    </w:p>
    <w:p>
      <w:pPr>
        <w:pStyle w:val="ListCustom"/>
        <w:ind w:left="259" w:hanging="187"/>
      </w:pPr>
      <w:r>
        <w:rPr>
          <w:b/>
        </w:rPr>
        <w:t xml:space="preserve">4. </w:t>
      </w:r>
      <w:r>
        <w:t>La decisión se documenta en acta o registro.</w:t>
      </w:r>
    </w:p>
    <w:p>
      <w:pPr>
        <w:pStyle w:val="ListCustom"/>
        <w:ind w:left="259" w:hanging="187"/>
      </w:pPr>
      <w:r>
        <w:rPr>
          <w:b/>
        </w:rPr>
        <w:t xml:space="preserve">5. </w:t>
      </w:r>
      <w:r>
        <w:t>Se archiva evidencia junto con el expediente del proceso correspondiente.</w:t>
      </w:r>
    </w:p>
    <w:p>
      <w:pPr>
        <w:pStyle w:val="Heading1Custom"/>
      </w:pPr>
      <w:r>
        <w:t>7. Prohibiciones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Ocultar un conflicto relevante.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Participar informalmente en la decisión tras haberse inhibido formalmente.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Presionar a terceros para favorecer a una persona o proveedor vinculado.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Aceptar beneficios no autorizados por razón del cargo o función.</w:t>
      </w:r>
    </w:p>
    <w:p>
      <w:pPr>
        <w:pStyle w:val="Heading1Custom"/>
      </w:pPr>
      <w:r>
        <w:t>8. Consecuencias por incumplimiento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Anulación de la decisión o revisión del proceso.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Amonestación, suspensión o separación de funciones.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Exclusión del comité o del rol que generó el conflicto.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Acciones legales o disciplinarias si hubiese fraude, falsedad o apropiación indebida.</w:t>
      </w:r>
    </w:p>
    <w:p>
      <w:pPr>
        <w:pStyle w:val="Heading1Custom"/>
      </w:pPr>
      <w:r>
        <w:t>9. Declaración anual y por proceso</w:t>
      </w:r>
    </w:p>
    <w:p>
      <w:r>
        <w:t>Toda persona con rol de decisión deberá firmar una declaración de conflictos de interés al inicio de su participación y actualizarla cada vez que ingrese a un proceso crítico.</w:t>
      </w:r>
    </w:p>
    <w:p>
      <w:pPr>
        <w:pStyle w:val="Heading1Custom"/>
      </w:pPr>
      <w:r>
        <w:t>Formulario anexo - declaración de conflictos de interés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 completo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Cargo / rol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Proceso o actividad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¿Existe conflicto real, potencial o aparente?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☐ No  ☐ Sí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Si la respuesta es sí, describa el vínculo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  <w:br/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Medida propuesta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☐ Abstención  ☐ Reemplazo  ☐ Supervisión adicional  ☐ Otra: 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Firma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Fecha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</w:t>
            </w:r>
          </w:p>
        </w:tc>
      </w:tr>
    </w:tbl>
    <w:p/>
    <w:p>
      <w:pPr>
        <w:pStyle w:val="Heading1Custom"/>
      </w:pPr>
      <w:r>
        <w:t>Referencias de buena gobernanza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OECD. Guidelines for Managing Conflict of Interest in the Public Service.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Charity Commission (UK). Managing conflicts of interest in a charity.</w:t>
      </w:r>
    </w:p>
    <w:sectPr w:rsidR="00FC693F" w:rsidRPr="0006063C" w:rsidSect="00034616">
      <w:footerReference w:type="default" r:id="rId9"/>
      <w:pgSz w:w="12240" w:h="15840"/>
      <w:pgMar w:top="1008" w:right="1152" w:bottom="864" w:left="1152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t xml:space="preserve">Página </w:t>
    </w:r>
    <w:fldSimple w:instr="PAGE">
      <w:r/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Custom">
    <w:name w:val="TitleCustom"/>
    <w:pPr>
      <w:spacing w:after="0" w:before="0"/>
    </w:pPr>
    <w:rPr>
      <w:rFonts w:ascii="Aptos Display" w:hAnsi="Aptos Display" w:eastAsia="Aptos Display"/>
      <w:b/>
      <w:color w:val="18355D"/>
      <w:sz w:val="44"/>
    </w:rPr>
  </w:style>
  <w:style w:type="paragraph" w:customStyle="1" w:styleId="SubtitleCustom">
    <w:name w:val="SubtitleCustom"/>
    <w:pPr>
      <w:spacing w:after="80"/>
    </w:pPr>
    <w:rPr>
      <w:rFonts w:ascii="Aptos" w:hAnsi="Aptos"/>
      <w:color w:val="596373"/>
      <w:sz w:val="21"/>
    </w:rPr>
  </w:style>
  <w:style w:type="paragraph" w:customStyle="1" w:styleId="Heading1Custom">
    <w:name w:val="Heading1Custom"/>
    <w:pPr>
      <w:keepNext/>
      <w:spacing w:before="240" w:after="80"/>
    </w:pPr>
    <w:rPr>
      <w:rFonts w:ascii="Aptos" w:hAnsi="Aptos"/>
      <w:b/>
      <w:color w:val="18355D"/>
      <w:sz w:val="27"/>
    </w:rPr>
  </w:style>
  <w:style w:type="paragraph" w:customStyle="1" w:styleId="Heading2Custom">
    <w:name w:val="Heading2Custom"/>
    <w:pPr>
      <w:keepNext/>
      <w:spacing w:before="160" w:after="40"/>
    </w:pPr>
    <w:rPr>
      <w:rFonts w:ascii="Aptos" w:hAnsi="Aptos"/>
      <w:b/>
      <w:color w:val="31486C"/>
      <w:sz w:val="23"/>
    </w:rPr>
  </w:style>
  <w:style w:type="paragraph" w:customStyle="1" w:styleId="SmallNote">
    <w:name w:val="SmallNote"/>
    <w:pPr>
      <w:spacing w:before="80" w:after="120"/>
    </w:pPr>
    <w:rPr>
      <w:rFonts w:ascii="Aptos" w:hAnsi="Aptos"/>
      <w:i/>
      <w:color w:val="5C6370"/>
      <w:sz w:val="18"/>
    </w:rPr>
  </w:style>
  <w:style w:type="paragraph" w:customStyle="1" w:styleId="ListCustom">
    <w:name w:val="ListCustom"/>
    <w:pPr>
      <w:spacing w:after="60" w:line="264" w:lineRule="auto"/>
      <w:ind w:left="288"/>
    </w:pPr>
    <w:rPr>
      <w:rFonts w:ascii="Aptos" w:hAnsi="Aptos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